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DCB83" w14:textId="709A71B4" w:rsidR="00484ECD" w:rsidRPr="007721DF" w:rsidRDefault="00484ECD" w:rsidP="007721DF">
      <w:pPr>
        <w:spacing w:line="360" w:lineRule="auto"/>
        <w:jc w:val="both"/>
        <w:rPr>
          <w:rFonts w:ascii="Verdana" w:hAnsi="Verdana" w:cs="Times New Roman"/>
          <w:b/>
          <w:bCs/>
          <w:sz w:val="16"/>
          <w:szCs w:val="16"/>
        </w:rPr>
      </w:pPr>
      <w:r w:rsidRPr="007721DF">
        <w:rPr>
          <w:rFonts w:ascii="Verdana" w:hAnsi="Verdana" w:cs="Times New Roman"/>
          <w:b/>
          <w:bCs/>
          <w:sz w:val="16"/>
          <w:szCs w:val="16"/>
        </w:rPr>
        <w:t>WYMA</w:t>
      </w:r>
      <w:r w:rsidR="00F475B8" w:rsidRPr="007721DF">
        <w:rPr>
          <w:rFonts w:ascii="Verdana" w:hAnsi="Verdana" w:cs="Times New Roman"/>
          <w:b/>
          <w:bCs/>
          <w:sz w:val="16"/>
          <w:szCs w:val="16"/>
        </w:rPr>
        <w:t>GA</w:t>
      </w:r>
      <w:r w:rsidRPr="007721DF">
        <w:rPr>
          <w:rFonts w:ascii="Verdana" w:hAnsi="Verdana" w:cs="Times New Roman"/>
          <w:b/>
          <w:bCs/>
          <w:sz w:val="16"/>
          <w:szCs w:val="16"/>
        </w:rPr>
        <w:t xml:space="preserve">NIA FUNKCJONALNE – </w:t>
      </w:r>
      <w:r w:rsidR="00C3056F" w:rsidRPr="007721DF">
        <w:rPr>
          <w:rFonts w:ascii="Verdana" w:hAnsi="Verdana" w:cs="Times New Roman"/>
          <w:b/>
          <w:bCs/>
          <w:sz w:val="16"/>
          <w:szCs w:val="16"/>
        </w:rPr>
        <w:t>Oprogramowanie do cyfrowej patomorfologii</w:t>
      </w:r>
      <w:r w:rsidRPr="007721DF">
        <w:rPr>
          <w:rFonts w:ascii="Verdana" w:hAnsi="Verdana" w:cs="Times New Roman"/>
          <w:b/>
          <w:bCs/>
          <w:sz w:val="16"/>
          <w:szCs w:val="16"/>
        </w:rPr>
        <w:t>:</w:t>
      </w:r>
      <w:r w:rsidR="00C3056F" w:rsidRPr="007721DF">
        <w:rPr>
          <w:rFonts w:ascii="Verdana" w:hAnsi="Verdana" w:cs="Times New Roman"/>
          <w:b/>
          <w:bCs/>
          <w:sz w:val="16"/>
          <w:szCs w:val="16"/>
        </w:rPr>
        <w:t xml:space="preserve"> System telekonsultacji cyfrowych skanów preparatów mikroskopowych wraz z algorytmami sztucznej inteligencji do analizy obrazu wraz z integracją ze skanerem</w:t>
      </w:r>
    </w:p>
    <w:sdt>
      <w:sdtPr>
        <w:rPr>
          <w:rFonts w:eastAsiaTheme="minorHAnsi" w:cs="Times New Roman"/>
          <w:color w:val="auto"/>
          <w:kern w:val="2"/>
          <w:sz w:val="22"/>
          <w:szCs w:val="22"/>
          <w:lang w:eastAsia="en-US"/>
          <w14:ligatures w14:val="standardContextual"/>
        </w:rPr>
        <w:id w:val="-17883509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9B6AF" w14:textId="2BB7F162" w:rsidR="00344018" w:rsidRPr="007721DF" w:rsidRDefault="00344018" w:rsidP="007721DF">
          <w:pPr>
            <w:pStyle w:val="Nagwekspisutreci"/>
            <w:spacing w:line="360" w:lineRule="auto"/>
            <w:jc w:val="both"/>
            <w:rPr>
              <w:rFonts w:ascii="Verdana" w:hAnsi="Verdana" w:cs="Times New Roman"/>
              <w:color w:val="auto"/>
              <w:sz w:val="16"/>
              <w:szCs w:val="16"/>
            </w:rPr>
          </w:pPr>
          <w:r w:rsidRPr="007721DF">
            <w:rPr>
              <w:rFonts w:ascii="Verdana" w:hAnsi="Verdana" w:cs="Times New Roman"/>
              <w:color w:val="auto"/>
              <w:sz w:val="16"/>
              <w:szCs w:val="16"/>
            </w:rPr>
            <w:t>Spis treści</w:t>
          </w:r>
        </w:p>
        <w:p w14:paraId="0D6F6C54" w14:textId="77777777" w:rsidR="0006659A" w:rsidRPr="007721DF" w:rsidRDefault="0006659A" w:rsidP="007721DF">
          <w:pPr>
            <w:spacing w:line="360" w:lineRule="auto"/>
            <w:rPr>
              <w:rFonts w:ascii="Verdana" w:hAnsi="Verdana" w:cs="Times New Roman"/>
              <w:sz w:val="16"/>
              <w:szCs w:val="16"/>
              <w:lang w:eastAsia="pl-PL"/>
            </w:rPr>
          </w:pPr>
        </w:p>
        <w:p w14:paraId="20B84865" w14:textId="32A1B084" w:rsidR="00DE010A" w:rsidRPr="007721DF" w:rsidRDefault="00344018" w:rsidP="007721DF">
          <w:pPr>
            <w:pStyle w:val="Spistreci1"/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r w:rsidRPr="007721DF">
            <w:rPr>
              <w:rFonts w:ascii="Verdana" w:hAnsi="Verdana" w:cs="Times New Roman"/>
              <w:sz w:val="16"/>
              <w:szCs w:val="16"/>
            </w:rPr>
            <w:fldChar w:fldCharType="begin"/>
          </w:r>
          <w:r w:rsidRPr="007721DF">
            <w:rPr>
              <w:rFonts w:ascii="Verdana" w:hAnsi="Verdana" w:cs="Times New Roman"/>
              <w:sz w:val="16"/>
              <w:szCs w:val="16"/>
            </w:rPr>
            <w:instrText xml:space="preserve"> TOC \o "1-3" \h \z \u </w:instrText>
          </w:r>
          <w:r w:rsidRPr="007721DF">
            <w:rPr>
              <w:rFonts w:ascii="Verdana" w:hAnsi="Verdana" w:cs="Times New Roman"/>
              <w:sz w:val="16"/>
              <w:szCs w:val="16"/>
            </w:rPr>
            <w:fldChar w:fldCharType="separate"/>
          </w:r>
          <w:hyperlink w:anchor="_Toc194405786" w:history="1">
            <w:r w:rsidR="00DE010A" w:rsidRPr="007721DF">
              <w:rPr>
                <w:rStyle w:val="Hipercze"/>
                <w:rFonts w:ascii="Verdana" w:hAnsi="Verdana"/>
                <w:bCs/>
                <w:noProof/>
                <w:color w:val="auto"/>
                <w:sz w:val="16"/>
                <w:szCs w:val="16"/>
              </w:rPr>
              <w:t>1.</w:t>
            </w:r>
            <w:r w:rsidR="00DE010A" w:rsidRPr="007721DF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="00DE010A" w:rsidRPr="007721DF">
              <w:rPr>
                <w:rStyle w:val="Hipercze"/>
                <w:rFonts w:ascii="Verdana" w:hAnsi="Verdana"/>
                <w:noProof/>
                <w:color w:val="auto"/>
                <w:sz w:val="16"/>
                <w:szCs w:val="16"/>
              </w:rPr>
              <w:t xml:space="preserve">Założenia </w:t>
            </w:r>
            <w:r w:rsidR="00DE010A" w:rsidRPr="007721DF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funkcjonalne</w:t>
            </w:r>
            <w:r w:rsidR="00DE010A" w:rsidRPr="007721DF">
              <w:rPr>
                <w:rStyle w:val="Hipercze"/>
                <w:rFonts w:ascii="Verdana" w:hAnsi="Verdana"/>
                <w:noProof/>
                <w:color w:val="auto"/>
                <w:sz w:val="16"/>
                <w:szCs w:val="16"/>
              </w:rPr>
              <w:t xml:space="preserve"> integracji skanera z oferowanym systemem klasy LIS:</w:t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_Toc194405786 \h </w:instrText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="00DE010A"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58BDFC98" w14:textId="581AD1D7" w:rsidR="00DE010A" w:rsidRPr="007721DF" w:rsidRDefault="00DE010A" w:rsidP="007721DF">
          <w:pPr>
            <w:pStyle w:val="Spistreci1"/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405787" w:history="1">
            <w:r w:rsidRPr="007721DF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2.</w:t>
            </w:r>
            <w:r w:rsidRPr="007721DF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7721DF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Funkcjonalności dotyczące wyświetlania skanów w oferowanym systemie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_Toc194405787 \h </w:instrTex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0B902C03" w14:textId="4D7468AE" w:rsidR="00DE010A" w:rsidRPr="007721DF" w:rsidRDefault="00DE010A" w:rsidP="007721DF">
          <w:pPr>
            <w:pStyle w:val="Spistreci1"/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405788" w:history="1">
            <w:r w:rsidRPr="007721DF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3.</w:t>
            </w:r>
            <w:r w:rsidRPr="007721DF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7721DF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Funkcjonalność analizy obrazu z elementami sztucznej inteligencji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_Toc194405788 \h </w:instrTex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34F52BEF" w14:textId="73234D06" w:rsidR="00DE010A" w:rsidRPr="007721DF" w:rsidRDefault="00DE010A" w:rsidP="007721DF">
          <w:pPr>
            <w:pStyle w:val="Spistreci1"/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405789" w:history="1">
            <w:r w:rsidRPr="007721DF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4.</w:t>
            </w:r>
            <w:r w:rsidRPr="007721DF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7721DF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Przechowywanie skanów otrzymywanych ze skanera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_Toc194405789 \h </w:instrTex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>4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3CA3362F" w14:textId="67109D74" w:rsidR="00DE010A" w:rsidRPr="007721DF" w:rsidRDefault="00DE010A" w:rsidP="007721DF">
          <w:pPr>
            <w:pStyle w:val="Spistreci1"/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405790" w:history="1">
            <w:r w:rsidRPr="007721DF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5.</w:t>
            </w:r>
            <w:r w:rsidRPr="007721DF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7721DF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Integracja ze skanerem histologicznym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_Toc194405790 \h </w:instrTex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t>5</w:t>
            </w:r>
            <w:r w:rsidRPr="007721DF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01B227FA" w14:textId="5C62720E" w:rsidR="00344018" w:rsidRPr="001D4CCA" w:rsidRDefault="00344018" w:rsidP="007721DF">
          <w:pPr>
            <w:spacing w:line="360" w:lineRule="auto"/>
            <w:jc w:val="both"/>
            <w:rPr>
              <w:rFonts w:cs="Times New Roman"/>
              <w:sz w:val="22"/>
              <w:szCs w:val="22"/>
            </w:rPr>
          </w:pPr>
          <w:r w:rsidRPr="007721DF">
            <w:rPr>
              <w:rFonts w:ascii="Verdana" w:hAnsi="Verdana" w:cs="Times New Roman"/>
              <w:b/>
              <w:bCs/>
              <w:sz w:val="16"/>
              <w:szCs w:val="16"/>
            </w:rPr>
            <w:fldChar w:fldCharType="end"/>
          </w:r>
        </w:p>
      </w:sdtContent>
    </w:sdt>
    <w:p w14:paraId="1D07E201" w14:textId="5DBB899F" w:rsidR="00344018" w:rsidRPr="001D4CCA" w:rsidRDefault="00344018" w:rsidP="009414A0">
      <w:pPr>
        <w:jc w:val="both"/>
        <w:rPr>
          <w:rFonts w:cs="Times New Roman"/>
          <w:b/>
          <w:bCs/>
          <w:sz w:val="22"/>
          <w:szCs w:val="22"/>
        </w:rPr>
      </w:pPr>
      <w:r w:rsidRPr="001D4CCA">
        <w:rPr>
          <w:rFonts w:cs="Times New Roman"/>
          <w:b/>
          <w:bCs/>
          <w:sz w:val="22"/>
          <w:szCs w:val="22"/>
        </w:rPr>
        <w:br w:type="page"/>
      </w:r>
    </w:p>
    <w:p w14:paraId="1EBB820B" w14:textId="33DE78C6" w:rsidR="00B828A3" w:rsidRPr="007721DF" w:rsidRDefault="00C3056F" w:rsidP="007721DF">
      <w:pPr>
        <w:pStyle w:val="Nagwek1"/>
        <w:numPr>
          <w:ilvl w:val="0"/>
          <w:numId w:val="13"/>
        </w:numPr>
        <w:spacing w:line="360" w:lineRule="auto"/>
        <w:rPr>
          <w:rFonts w:ascii="Verdana" w:hAnsi="Verdana"/>
          <w:color w:val="auto"/>
          <w:sz w:val="16"/>
          <w:szCs w:val="16"/>
        </w:rPr>
      </w:pPr>
      <w:bookmarkStart w:id="0" w:name="_Toc194405786"/>
      <w:r w:rsidRPr="007721DF">
        <w:rPr>
          <w:rFonts w:ascii="Verdana" w:hAnsi="Verdana"/>
          <w:color w:val="auto"/>
          <w:sz w:val="16"/>
          <w:szCs w:val="16"/>
        </w:rPr>
        <w:lastRenderedPageBreak/>
        <w:t xml:space="preserve">Założenia </w:t>
      </w:r>
      <w:r w:rsidRPr="007721DF">
        <w:rPr>
          <w:rFonts w:ascii="Verdana" w:hAnsi="Verdana" w:cs="Times New Roman"/>
          <w:color w:val="auto"/>
          <w:sz w:val="16"/>
          <w:szCs w:val="16"/>
        </w:rPr>
        <w:t>funkcjonalne</w:t>
      </w:r>
      <w:r w:rsidRPr="007721DF">
        <w:rPr>
          <w:rFonts w:ascii="Verdana" w:hAnsi="Verdana"/>
          <w:color w:val="auto"/>
          <w:sz w:val="16"/>
          <w:szCs w:val="16"/>
        </w:rPr>
        <w:t xml:space="preserve"> integracji skanera z oferowanym systemem klasy LIS</w:t>
      </w:r>
      <w:r w:rsidR="00AB3FCA" w:rsidRPr="007721DF">
        <w:rPr>
          <w:rFonts w:ascii="Verdana" w:hAnsi="Verdana"/>
          <w:color w:val="auto"/>
          <w:sz w:val="16"/>
          <w:szCs w:val="16"/>
        </w:rPr>
        <w:t>:</w:t>
      </w:r>
      <w:bookmarkEnd w:id="0"/>
    </w:p>
    <w:p w14:paraId="48CFE98D" w14:textId="77777777" w:rsidR="00AB3FCA" w:rsidRPr="007721DF" w:rsidRDefault="00AB3FCA" w:rsidP="007721DF">
      <w:pPr>
        <w:spacing w:line="360" w:lineRule="auto"/>
        <w:rPr>
          <w:rFonts w:ascii="Verdana" w:hAnsi="Verdana"/>
          <w:sz w:val="16"/>
          <w:szCs w:val="16"/>
        </w:rPr>
      </w:pPr>
    </w:p>
    <w:p w14:paraId="44975A17" w14:textId="3CDFF1B7" w:rsidR="00523F34" w:rsidRPr="007721DF" w:rsidRDefault="00C3056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Automatyczny import zeskanowanych preparatów ze skanera do oferowanego systemu wraz z przechowywaniem skanów na wskazanym serwerze</w:t>
      </w:r>
      <w:r w:rsidR="003E20E5" w:rsidRPr="007721DF">
        <w:rPr>
          <w:rFonts w:ascii="Verdana" w:hAnsi="Verdana" w:cs="Times New Roman"/>
          <w:sz w:val="16"/>
          <w:szCs w:val="16"/>
        </w:rPr>
        <w:t>.</w:t>
      </w:r>
    </w:p>
    <w:p w14:paraId="1FD8C943" w14:textId="0DFF8AE8" w:rsidR="00F96F2F" w:rsidRPr="007721DF" w:rsidRDefault="00C3056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wykonania powtórnego skanu danego preparatu (np. w przypadku niedostatecznej jakości technicznej lub przy zastosowaniu innych parametrów skanowania) z zachowaniem poprzedniej wersji skanu</w:t>
      </w:r>
      <w:r w:rsidRPr="007721DF">
        <w:rPr>
          <w:rFonts w:ascii="Verdana" w:hAnsi="Verdana" w:cs="Times New Roman"/>
          <w:sz w:val="16"/>
          <w:szCs w:val="16"/>
        </w:rPr>
        <w:t>.</w:t>
      </w:r>
    </w:p>
    <w:p w14:paraId="2557E4FA" w14:textId="44A63063" w:rsidR="00C3056F" w:rsidRPr="007721DF" w:rsidRDefault="00C3056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Integracja umożliwia wyświetlanie skanu preparatu w systemie LIS w kontekście tego preparatu, bez konieczności powtórnego logowania się użytkownika i stosowania dodatkowych aplikacji.</w:t>
      </w:r>
    </w:p>
    <w:p w14:paraId="321420CC" w14:textId="2FA61D27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Kontrola dostępu do preparatów zgodnie z uprawnieniami użytkownika w systemie LIS.</w:t>
      </w:r>
    </w:p>
    <w:p w14:paraId="51BF4000" w14:textId="0A91EEF7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Obsługa zleceń skanowania preparatów z obsługą komentarzy i wyboru powiększenia (o ile skaner posiada taką możliwość). Opcjonalna notyfikacja zlecającego po uzyskaniu dostępności skanu ze skanera, jeżeli osoba zlecająca skan zaznaczy taką opcję.</w:t>
      </w:r>
    </w:p>
    <w:p w14:paraId="78AC71AD" w14:textId="760C43B3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Obsługa miniaturek (</w:t>
      </w:r>
      <w:proofErr w:type="spellStart"/>
      <w:r w:rsidRPr="007721DF">
        <w:rPr>
          <w:rFonts w:ascii="Verdana" w:hAnsi="Verdana" w:cs="Times New Roman"/>
          <w:sz w:val="16"/>
          <w:szCs w:val="16"/>
        </w:rPr>
        <w:t>thumbnails</w:t>
      </w:r>
      <w:proofErr w:type="spellEnd"/>
      <w:r w:rsidRPr="007721DF">
        <w:rPr>
          <w:rFonts w:ascii="Verdana" w:hAnsi="Verdana" w:cs="Times New Roman"/>
          <w:sz w:val="16"/>
          <w:szCs w:val="16"/>
        </w:rPr>
        <w:t>) zeskanowanych preparatów prezentowanych w kontekście preparatów w systemie LIS. Miniaturki są widoczne w systemie, tworząc „wirtualną teczkę” patomorfologa.</w:t>
      </w:r>
    </w:p>
    <w:p w14:paraId="230BBB56" w14:textId="6C757392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Obsługa zapobiegania usunięciu istotnych („ważnych”) skanów, a także automatyczne zarządzanie retencją danych - usuwanie skanów po określonym czasie od autoryzacji przypadku</w:t>
      </w:r>
    </w:p>
    <w:p w14:paraId="4D1E3D1A" w14:textId="18B3EF9B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Automatyczne umieszczanie skanów (oparte o kod kreskowy w polu opisowym preparatu) w kontekście odpowiedniego preparatu, również</w:t>
      </w:r>
      <w:r w:rsidR="00F7469B" w:rsidRPr="007721DF">
        <w:rPr>
          <w:rFonts w:ascii="Verdana" w:hAnsi="Verdana" w:cs="Times New Roman"/>
          <w:bCs/>
          <w:sz w:val="16"/>
          <w:szCs w:val="16"/>
        </w:rPr>
        <w:t>,</w:t>
      </w:r>
      <w:r w:rsidRPr="007721DF">
        <w:rPr>
          <w:rFonts w:ascii="Verdana" w:hAnsi="Verdana" w:cs="Times New Roman"/>
          <w:bCs/>
          <w:sz w:val="16"/>
          <w:szCs w:val="16"/>
        </w:rPr>
        <w:t xml:space="preserve"> gdy diagnozujący nie wystawi zlecenia skanowania.</w:t>
      </w:r>
    </w:p>
    <w:p w14:paraId="66B79E36" w14:textId="5CDDDEB9" w:rsidR="002428FF" w:rsidRPr="007721DF" w:rsidRDefault="002428FF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Powiadomienie osoby zlecającej skan poprzez komunikat systemowy po uzyskaniu dostępności skanu ze skanera (jeżeli w zleceniu skanowania osoba zlecająca oznaczy taką opcję).</w:t>
      </w:r>
    </w:p>
    <w:p w14:paraId="7CB98E13" w14:textId="4494BBAD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dostępna jednocześnie dla min. 20 stanowisk diagnozujących.</w:t>
      </w:r>
    </w:p>
    <w:p w14:paraId="1DF1FF6A" w14:textId="37ADB8BA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Możliwość obsługi wielu serwerów skanów przez jedna aplikację.</w:t>
      </w:r>
    </w:p>
    <w:p w14:paraId="452254BD" w14:textId="1A0719D2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nie jest ograniczona czasowo lub liczbą preparatów (jedynym ograniczeniem na liczbę preparatów jest pojemność przestrzeni dyskowej w oferowanym rozwiązaniu).</w:t>
      </w:r>
    </w:p>
    <w:p w14:paraId="0A355A0A" w14:textId="6A16608F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Rozbudowana wyszukiwarka, umożliwiająca odnalezienie skanu po wielu kryteriach (m.in. typu skanu, kodu kreskowego, dat, numerów preparatu/bloczka/materiału/przypadku, lokalizacji anatomicznej, przypisanych znaczników, skanerów, a także treści wpisanych w komentarzach adnotacji).</w:t>
      </w:r>
    </w:p>
    <w:p w14:paraId="4F23FC00" w14:textId="2FA058CB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Interfejs użytkownika w języku polskim i angielskim.</w:t>
      </w:r>
    </w:p>
    <w:p w14:paraId="539CA6C8" w14:textId="026D58EA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 xml:space="preserve">Wsparcie techniczne – min. </w:t>
      </w:r>
      <w:r w:rsidR="00B00735" w:rsidRPr="007721DF">
        <w:rPr>
          <w:rFonts w:ascii="Verdana" w:hAnsi="Verdana" w:cs="Times New Roman"/>
          <w:bCs/>
          <w:sz w:val="16"/>
          <w:szCs w:val="16"/>
        </w:rPr>
        <w:t>36</w:t>
      </w:r>
      <w:r w:rsidRPr="007721DF">
        <w:rPr>
          <w:rFonts w:ascii="Verdana" w:hAnsi="Verdana" w:cs="Times New Roman"/>
          <w:bCs/>
          <w:sz w:val="16"/>
          <w:szCs w:val="16"/>
        </w:rPr>
        <w:t xml:space="preserve"> miesięcy</w:t>
      </w:r>
      <w:r w:rsidR="00B00735" w:rsidRPr="007721DF">
        <w:rPr>
          <w:rFonts w:ascii="Verdana" w:hAnsi="Verdana" w:cs="Times New Roman"/>
          <w:bCs/>
          <w:sz w:val="16"/>
          <w:szCs w:val="16"/>
        </w:rPr>
        <w:t>.</w:t>
      </w:r>
    </w:p>
    <w:p w14:paraId="6EA6AE5B" w14:textId="5CE6BB3A" w:rsidR="009E4757" w:rsidRPr="007721DF" w:rsidRDefault="00324EE7" w:rsidP="007721DF">
      <w:pPr>
        <w:pStyle w:val="Nagwek1"/>
        <w:numPr>
          <w:ilvl w:val="0"/>
          <w:numId w:val="13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1" w:name="_Toc194405787"/>
      <w:r w:rsidRPr="007721DF">
        <w:rPr>
          <w:rFonts w:ascii="Verdana" w:hAnsi="Verdana" w:cs="Times New Roman"/>
          <w:color w:val="auto"/>
          <w:sz w:val="16"/>
          <w:szCs w:val="16"/>
        </w:rPr>
        <w:t>Funkcjonalności dotyczące wyświetlania skanów w oferowanym systemie</w:t>
      </w:r>
      <w:bookmarkEnd w:id="1"/>
    </w:p>
    <w:p w14:paraId="1047210F" w14:textId="77777777" w:rsidR="0006659A" w:rsidRPr="007721DF" w:rsidRDefault="0006659A" w:rsidP="007721DF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0B7BD30C" w14:textId="0EE20873" w:rsidR="009E475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 xml:space="preserve">Możliwość tworzenia, edycji i usuwania komentarzy (adnotacji) bezpośrednio na skanie preparatu, w celu np. oznaczenia rejonu (tzw. ROI - region of </w:t>
      </w:r>
      <w:proofErr w:type="spellStart"/>
      <w:r w:rsidRPr="007721DF">
        <w:rPr>
          <w:rFonts w:ascii="Verdana" w:hAnsi="Verdana" w:cs="Times New Roman"/>
          <w:sz w:val="16"/>
          <w:szCs w:val="16"/>
        </w:rPr>
        <w:t>interest</w:t>
      </w:r>
      <w:proofErr w:type="spellEnd"/>
      <w:r w:rsidRPr="007721DF">
        <w:rPr>
          <w:rFonts w:ascii="Verdana" w:hAnsi="Verdana" w:cs="Times New Roman"/>
          <w:sz w:val="16"/>
          <w:szCs w:val="16"/>
        </w:rPr>
        <w:t>) do konsultacji innego patomorfologa. Adnotacje w kształcie: prostokąta, okręgu, okręgu o powierzchni 1mm2, linii oraz punktów o 3 kolorach (czerwony, zielony, niebieski).</w:t>
      </w:r>
    </w:p>
    <w:p w14:paraId="6C8CA752" w14:textId="77777777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Funkcjonalności zaznaczania adnotacji na skanie:</w:t>
      </w:r>
    </w:p>
    <w:p w14:paraId="283D0B57" w14:textId="3F3A5A41" w:rsidR="00324EE7" w:rsidRPr="007721DF" w:rsidRDefault="00324EE7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 xml:space="preserve">Możliwość tworzenia, edycji i usuwania komentarzy (adnotacji) bezpośrednio na skanie preparatu, w celu np. oznaczenia rejonu (tzw. ROI - region of 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interest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>) do konsultacji innego patomorfologa. Adnotacje w kształcie: prostokąta, okręgu, linii, wielokąta, punktów o 3 kolorach oraz swobodnie rysowanego kształtu (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freehand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>).</w:t>
      </w:r>
    </w:p>
    <w:p w14:paraId="061A51FD" w14:textId="1954FE9D" w:rsidR="00324EE7" w:rsidRPr="007721DF" w:rsidRDefault="00324EE7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rysowania adnotacji w kształcie okręgu o predefiniowanej powierzchni 1mm2, umożliwiającej pomiary i zliczanie komórek w standaryzowanej powierzchni.</w:t>
      </w:r>
    </w:p>
    <w:p w14:paraId="142FD681" w14:textId="75ED974C" w:rsidR="00324EE7" w:rsidRPr="007721DF" w:rsidRDefault="00324EE7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Każda z adnotacji może być oznaczona konfigurowanymi znacznikami, umożliwiając późniejsze wyszukiwanie interesujących obszarów.</w:t>
      </w:r>
    </w:p>
    <w:p w14:paraId="255E6CCB" w14:textId="1C931A85" w:rsidR="00324EE7" w:rsidRPr="007721DF" w:rsidRDefault="00324EE7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lastRenderedPageBreak/>
        <w:t>Do każdej z adnotacji można dodać nieograniczoną liczbę komentarzy, tworząc czat między osobami diagnozującymi preparat.</w:t>
      </w:r>
    </w:p>
    <w:p w14:paraId="360D3C30" w14:textId="77777777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 xml:space="preserve">Obsługa tzw. 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snapshotów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 xml:space="preserve"> – tworzenie obrazów w niskiej rozdzielczości (to co widzimy aktualnie na ekranie, w aktualnym położeniu i powiększeniu) i przesyłanie takiego pliku obrazu w formacie JPG jako załącznik w kontekście preparatu w oferowanym systemie.</w:t>
      </w:r>
    </w:p>
    <w:p w14:paraId="51D6952B" w14:textId="77777777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pracy poprzez łącza internetowe o niewielkiej przepustowości (np. sieć komórkowa).</w:t>
      </w:r>
    </w:p>
    <w:p w14:paraId="4A8328A6" w14:textId="7E75C9E9" w:rsidR="009E475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przybliżania i oddalania (zoom) – zmiany powiększenia.</w:t>
      </w:r>
    </w:p>
    <w:p w14:paraId="4ED80D83" w14:textId="4FD7DA41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przesuwania obrazu przy danym powiększeniu (pan).</w:t>
      </w:r>
    </w:p>
    <w:p w14:paraId="085E7577" w14:textId="12D75777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obrotu skanu o wybrany przez użytkownika kąt.</w:t>
      </w:r>
    </w:p>
    <w:p w14:paraId="2FBFD767" w14:textId="18CCE021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wyświetlania obrazu pola opisowego preparatu wraz z kodem kreskowym oraz danymi materiału, lokalizacji, bloczka i protokołu barwienia (pobranego z systemu LIS na podstawie kodu kreskowego).</w:t>
      </w:r>
    </w:p>
    <w:p w14:paraId="0ED2058C" w14:textId="4EBA5FAC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nawigatora prezentującego pomniejszony obraz skanu i miejsce, w którym aktualnie się znajdujemy. Automatyczne oznaczanie innym kolorem tła w okienku nawigatora już obejrzanych powierzchni skanu.</w:t>
      </w:r>
    </w:p>
    <w:p w14:paraId="770ADC63" w14:textId="64DE45C5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pomiarów liniowych obrazu (określenia realnej odległości w mikrometrach/milimetrach między dwoma punktami wskazanymi przez użytkownika), a także mierzenia powierzchni adnotacji w kształcie prostokąta, wielokąta, okręgu i swobodnego zaznaczania (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freehand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>).</w:t>
      </w:r>
    </w:p>
    <w:p w14:paraId="11CEC1E9" w14:textId="44C185E5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wyświetlania skali (odcinka o wzorcowej długości) dla każdego z powiększeń.</w:t>
      </w:r>
    </w:p>
    <w:p w14:paraId="6C380056" w14:textId="0D8C2789" w:rsidR="00324EE7" w:rsidRPr="007721DF" w:rsidRDefault="00324EE7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Funkcja pracy synchronicznej kilku osób na tym samym skanie. Jedna z osób (prowadząca prezentację lub konsultant) dokonuje przeglądania preparatu, a u pozostałych osób powiększenie i pole widzenia zmienia się synchronicznie i widzą to samo, co osoba prowadząca.</w:t>
      </w:r>
    </w:p>
    <w:p w14:paraId="42FE35E6" w14:textId="3F99EDB8" w:rsidR="00324EE7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Funkcjonalność zliczania dodanych punktów jako adnotacji w zaznaczonym obrazie oraz sumowania ich liczby oraz ilorazów (tzw. ratio).</w:t>
      </w:r>
    </w:p>
    <w:p w14:paraId="7F3CE4BA" w14:textId="1E16B6E5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indywidualnego dostosowania kolorystyki skanów, osobno dla każdego użytkownika i zintegrowanego skanera w zakresie: jasności, nasycenia, współczynnika gamma oraz balansu kolorów RGB.</w:t>
      </w:r>
    </w:p>
    <w:p w14:paraId="7EBA8139" w14:textId="7370ADFB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indywidualnego włączenia interpretacji profili kolorystycznych ICC zawartych w skanach dostarczanych przez kompatybilne skanery.</w:t>
      </w:r>
    </w:p>
    <w:p w14:paraId="67B6C326" w14:textId="1B4FF89A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domyślnego obrotu obrazu preparatu w zależności od źródła skanu.</w:t>
      </w:r>
    </w:p>
    <w:p w14:paraId="4CF4E7F9" w14:textId="7A4626A3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Możliwość konfiguracji automatycznego obliczana maski segmentującej dla każdego skanera.</w:t>
      </w:r>
    </w:p>
    <w:p w14:paraId="24BB3A5A" w14:textId="7CEDE2B7" w:rsidR="009E4757" w:rsidRPr="007721DF" w:rsidRDefault="002A3368" w:rsidP="007721DF">
      <w:pPr>
        <w:pStyle w:val="Nagwek1"/>
        <w:numPr>
          <w:ilvl w:val="0"/>
          <w:numId w:val="13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2" w:name="_Toc194405788"/>
      <w:r w:rsidRPr="007721DF">
        <w:rPr>
          <w:rFonts w:ascii="Verdana" w:hAnsi="Verdana" w:cs="Times New Roman"/>
          <w:color w:val="auto"/>
          <w:sz w:val="16"/>
          <w:szCs w:val="16"/>
        </w:rPr>
        <w:t>Funkcjonalność analizy obrazu z elementami sztucznej inteligencji</w:t>
      </w:r>
      <w:bookmarkEnd w:id="2"/>
    </w:p>
    <w:p w14:paraId="254D7CED" w14:textId="77777777" w:rsidR="0006659A" w:rsidRPr="007721DF" w:rsidRDefault="0006659A" w:rsidP="007721DF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11C5D14D" w14:textId="187BF35C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Analiza obrazu następuje centralnie na dostarczonym serwerze. Nie zużywa mocy obliczeniowej stacji roboczej. Nie dopuszcza się analizy poza infrastrukturą Zamawiającego (np. rozwiązania „chmurowe”).</w:t>
      </w:r>
    </w:p>
    <w:p w14:paraId="4399351E" w14:textId="21AFCD54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Automatyczna segmentacja skanu – oznaczanie tła, tkanki nowotworowej i podścieliska</w:t>
      </w:r>
    </w:p>
    <w:p w14:paraId="70277931" w14:textId="6F7AB06B" w:rsidR="002A3368" w:rsidRPr="007721DF" w:rsidRDefault="002A3368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Funkcja uruchamiana na żądanie lub jako element obróbki wstępnej bezpośrednio po skanowaniu. Zadania zlecone przez użytkowników w razie kolejkowania muszą mieć wyższy priorytet niż zadania zlecone automatycznie.</w:t>
      </w:r>
    </w:p>
    <w:p w14:paraId="45B3E971" w14:textId="1BAA289D" w:rsidR="002A3368" w:rsidRPr="007721DF" w:rsidRDefault="002A3368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Funkcja powinna wskazywać i oznaczać odpowiednie obszary przy użyciu kolorów lub adnotacji z możliwością regulacji przezroczystości oznaczeń.</w:t>
      </w:r>
    </w:p>
    <w:p w14:paraId="03A7D82B" w14:textId="27A22762" w:rsidR="002A3368" w:rsidRPr="007721DF" w:rsidRDefault="002A3368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Funkcja powinna posiadać możliwość predefiniowania przezroczystości oznaczeń dla poszczególnych użytkowników oraz możliwość przywrócenia ustawień wstępnych po modyfikacji.</w:t>
      </w:r>
    </w:p>
    <w:p w14:paraId="3DBA6490" w14:textId="51C0547D" w:rsidR="009E4757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 xml:space="preserve">Algorytmy do analizy preparatów immunohistochemicznych w zakresie reakcji jądrowych i błonowych dla przeciwciał: Ki-67, ER (estrogen), 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PgR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 xml:space="preserve"> (progesteron), HER-2. </w:t>
      </w:r>
      <w:r w:rsidRPr="007721DF">
        <w:rPr>
          <w:rFonts w:ascii="Verdana" w:hAnsi="Verdana" w:cs="Times New Roman"/>
          <w:sz w:val="16"/>
          <w:szCs w:val="16"/>
        </w:rPr>
        <w:t xml:space="preserve"> </w:t>
      </w:r>
      <w:r w:rsidRPr="007721DF">
        <w:rPr>
          <w:rFonts w:ascii="Verdana" w:hAnsi="Verdana" w:cs="Times New Roman"/>
          <w:bCs/>
          <w:sz w:val="16"/>
          <w:szCs w:val="16"/>
        </w:rPr>
        <w:t>Po wykonaniu segmentacji skanu możliwość zawężenia działania algorytmów do obszarów oznaczonych jako tkanka nowotworowa.</w:t>
      </w:r>
    </w:p>
    <w:p w14:paraId="02B70FA8" w14:textId="11FAA759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lastRenderedPageBreak/>
        <w:t>Po zaznaczeniu obszaru analizy przez patomorfologa za pomocą prostokątnej adnotacji, system dokona analizy pod kątem:</w:t>
      </w:r>
    </w:p>
    <w:p w14:paraId="4F62C1DE" w14:textId="04319F72" w:rsidR="002A3368" w:rsidRPr="007721DF" w:rsidRDefault="002A3368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dla ER/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PgR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>/Ki-67: wskazanie odsetka dodatnich jąder komórkowych oraz wskazanie odsetka komórek ze słabą/umiarkowanie nasiloną/silną ekspresją</w:t>
      </w:r>
    </w:p>
    <w:p w14:paraId="5C30EECF" w14:textId="250D7891" w:rsidR="002A3368" w:rsidRPr="007721DF" w:rsidRDefault="002A3368" w:rsidP="007721DF">
      <w:pPr>
        <w:pStyle w:val="Akapitzlist"/>
        <w:numPr>
          <w:ilvl w:val="2"/>
          <w:numId w:val="13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dla HER-2: wskazanie odsetka komórek z silną błonową ciągłą reakcją.</w:t>
      </w:r>
    </w:p>
    <w:p w14:paraId="36D85152" w14:textId="2D1C78DE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Analiza obszaru zawierającego 2000 komórek zajmuje nie dłużej niż 60 sekund.</w:t>
      </w:r>
    </w:p>
    <w:p w14:paraId="527D43E5" w14:textId="3F9706E8" w:rsidR="002A3368" w:rsidRPr="007721DF" w:rsidRDefault="002A3368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Informacja o kolejce operacji do wykonania z podziałem na segmentacje i adnotacje. Elementy na liście powinny być odnośnikami do konkretnych adnotacji.</w:t>
      </w:r>
    </w:p>
    <w:p w14:paraId="63581B5E" w14:textId="2CD8665C" w:rsidR="009E4757" w:rsidRPr="007721DF" w:rsidRDefault="00B828A3" w:rsidP="007721DF">
      <w:pPr>
        <w:pStyle w:val="Nagwek1"/>
        <w:numPr>
          <w:ilvl w:val="0"/>
          <w:numId w:val="13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3" w:name="_Toc194405789"/>
      <w:r w:rsidRPr="007721DF">
        <w:rPr>
          <w:rFonts w:ascii="Verdana" w:hAnsi="Verdana" w:cs="Times New Roman"/>
          <w:color w:val="auto"/>
          <w:sz w:val="16"/>
          <w:szCs w:val="16"/>
        </w:rPr>
        <w:t>Przechowywanie skanów otrzymywanych ze skanera</w:t>
      </w:r>
      <w:bookmarkEnd w:id="3"/>
    </w:p>
    <w:p w14:paraId="67F1FDE6" w14:textId="77777777" w:rsidR="0006659A" w:rsidRPr="007721DF" w:rsidRDefault="0006659A" w:rsidP="007721DF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461ECFEC" w14:textId="7DBFFDC7" w:rsidR="009E4757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System do przechowywania skanów jednocześnie integruje w sobie funkcje analizy obrazu.</w:t>
      </w:r>
    </w:p>
    <w:p w14:paraId="7A338974" w14:textId="47B58603" w:rsidR="009E4757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Podręczna przestrzeń dyskowa do przetwarzania danych: min. 300 TB netto. System odporny na awarię dwóch, dowolnych dysków (RAID 6). System posiada 1 dysk pracujący w tzw. gorącej rezerwie (hot-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spare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>).</w:t>
      </w:r>
    </w:p>
    <w:p w14:paraId="45F431D3" w14:textId="0A8EF32F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Podręczna przestrzeń dyskowa cache SSD do przetwarzania danych: min. 3 TB netto. System odporny na awarię pojedynczego dysku (RAID 1/RAID 10).</w:t>
      </w:r>
    </w:p>
    <w:p w14:paraId="400DC914" w14:textId="14475BF3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W razie awarii, uszkodzone dyski zostają u Zamawiającego;</w:t>
      </w:r>
    </w:p>
    <w:p w14:paraId="5D9F9A22" w14:textId="622CEDA3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Moc obliczeniowa (procesory, ich liczba, częstotliwość taktowania, ilość pamięci RAM), a także żywotność dysków dostosowane do planowanego obciążenia systemu.</w:t>
      </w:r>
    </w:p>
    <w:p w14:paraId="29FE0D74" w14:textId="6241F955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Brak ograniczenia jednocześnie pracującej liczby użytkowników. Zachowanie wydajności przy jednoczesnej pracy do 20 osób.</w:t>
      </w:r>
    </w:p>
    <w:p w14:paraId="2DB6E369" w14:textId="049846A7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Liczba jednocześnie prowadzonych analiz obrazu – 1 wątek. W przypadku większej liczby żądanych jednocześnie analiz, system kolejkuje zadania i po zakończeniu bieżącego automatycznie inicjuje wykonanie kolejnego zadania z kolejki.</w:t>
      </w:r>
    </w:p>
    <w:p w14:paraId="08DFA253" w14:textId="6D70C9A2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Wydajność: wyświetlenie wskazanego skanu preparatu standardowej wielkości bez powiększenia w czasie nie dłuższym niż 7 sekund.</w:t>
      </w:r>
    </w:p>
    <w:p w14:paraId="3A54AAED" w14:textId="313B6807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Zasilacze redundantne AC 230V.</w:t>
      </w:r>
    </w:p>
    <w:p w14:paraId="14E1867C" w14:textId="671B5C60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Interfejsy IPMI+KVM do zdalnego zarządzania (dedykowane karty sieciowe).</w:t>
      </w:r>
    </w:p>
    <w:p w14:paraId="7CC0D796" w14:textId="3C2E4467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Interfejsy sieciowe: 2 x 1Gbit/s RJ45 + 2 x SFP+ 10Gbit/s.</w:t>
      </w:r>
    </w:p>
    <w:p w14:paraId="27AB3EF3" w14:textId="632BC255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 xml:space="preserve">Zajętość w szafie 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rack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 xml:space="preserve"> 19” – max. 4U. Cały dostarczany sprzęt zainstalowany zostanie w szafie </w:t>
      </w:r>
      <w:proofErr w:type="spellStart"/>
      <w:r w:rsidRPr="007721DF">
        <w:rPr>
          <w:rFonts w:ascii="Verdana" w:hAnsi="Verdana" w:cs="Times New Roman"/>
          <w:bCs/>
          <w:sz w:val="16"/>
          <w:szCs w:val="16"/>
        </w:rPr>
        <w:t>rack</w:t>
      </w:r>
      <w:proofErr w:type="spellEnd"/>
      <w:r w:rsidRPr="007721DF">
        <w:rPr>
          <w:rFonts w:ascii="Verdana" w:hAnsi="Verdana" w:cs="Times New Roman"/>
          <w:bCs/>
          <w:sz w:val="16"/>
          <w:szCs w:val="16"/>
        </w:rPr>
        <w:t xml:space="preserve"> 19”, wyposażony w niezbędne szyny montażowe, okablowanie, itp.</w:t>
      </w:r>
    </w:p>
    <w:p w14:paraId="7108DCC0" w14:textId="346713D7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bCs/>
          <w:sz w:val="16"/>
          <w:szCs w:val="16"/>
        </w:rPr>
        <w:t>Jeżeli wdrożenie wymaga użycia dodatkowych licencji komercyjnych (np. systemy operacyjne, bazy danych itp.), to należy je dostarczyć w ramach niniejszego zamówienia.</w:t>
      </w:r>
    </w:p>
    <w:p w14:paraId="3F53E2EE" w14:textId="3D1BA500" w:rsidR="00B828A3" w:rsidRPr="007721DF" w:rsidRDefault="00B828A3" w:rsidP="007721DF">
      <w:pPr>
        <w:pStyle w:val="Akapitzlist"/>
        <w:numPr>
          <w:ilvl w:val="1"/>
          <w:numId w:val="13"/>
        </w:num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 xml:space="preserve">Gwarancja na serwer min. </w:t>
      </w:r>
      <w:r w:rsidR="008F63D0" w:rsidRPr="007721DF">
        <w:rPr>
          <w:rFonts w:ascii="Verdana" w:hAnsi="Verdana" w:cs="Times New Roman"/>
          <w:sz w:val="16"/>
          <w:szCs w:val="16"/>
        </w:rPr>
        <w:t>36</w:t>
      </w:r>
      <w:r w:rsidRPr="007721DF">
        <w:rPr>
          <w:rFonts w:ascii="Verdana" w:hAnsi="Verdana" w:cs="Times New Roman"/>
          <w:sz w:val="16"/>
          <w:szCs w:val="16"/>
        </w:rPr>
        <w:t xml:space="preserve"> m-cy z naprawą na następny dzień roboczy w miejscu instalacji (on-</w:t>
      </w:r>
      <w:proofErr w:type="spellStart"/>
      <w:r w:rsidRPr="007721DF">
        <w:rPr>
          <w:rFonts w:ascii="Verdana" w:hAnsi="Verdana" w:cs="Times New Roman"/>
          <w:sz w:val="16"/>
          <w:szCs w:val="16"/>
        </w:rPr>
        <w:t>site</w:t>
      </w:r>
      <w:proofErr w:type="spellEnd"/>
      <w:r w:rsidRPr="007721DF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7721DF">
        <w:rPr>
          <w:rFonts w:ascii="Verdana" w:hAnsi="Verdana" w:cs="Times New Roman"/>
          <w:sz w:val="16"/>
          <w:szCs w:val="16"/>
        </w:rPr>
        <w:t>next</w:t>
      </w:r>
      <w:proofErr w:type="spellEnd"/>
      <w:r w:rsidRPr="007721DF">
        <w:rPr>
          <w:rFonts w:ascii="Verdana" w:hAnsi="Verdana" w:cs="Times New Roman"/>
          <w:sz w:val="16"/>
          <w:szCs w:val="16"/>
        </w:rPr>
        <w:t xml:space="preserve"> business </w:t>
      </w:r>
      <w:proofErr w:type="spellStart"/>
      <w:r w:rsidRPr="007721DF">
        <w:rPr>
          <w:rFonts w:ascii="Verdana" w:hAnsi="Verdana" w:cs="Times New Roman"/>
          <w:sz w:val="16"/>
          <w:szCs w:val="16"/>
        </w:rPr>
        <w:t>day</w:t>
      </w:r>
      <w:proofErr w:type="spellEnd"/>
      <w:r w:rsidRPr="007721DF">
        <w:rPr>
          <w:rFonts w:ascii="Verdana" w:hAnsi="Verdana" w:cs="Times New Roman"/>
          <w:sz w:val="16"/>
          <w:szCs w:val="16"/>
        </w:rPr>
        <w:t>).</w:t>
      </w:r>
    </w:p>
    <w:p w14:paraId="77F12B69" w14:textId="77777777" w:rsidR="00B828A3" w:rsidRPr="007721DF" w:rsidRDefault="00B828A3" w:rsidP="007721DF">
      <w:pPr>
        <w:spacing w:line="360" w:lineRule="auto"/>
        <w:rPr>
          <w:rFonts w:ascii="Verdana" w:eastAsiaTheme="majorEastAsi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br w:type="page"/>
      </w:r>
    </w:p>
    <w:p w14:paraId="6308A4A5" w14:textId="15083EE9" w:rsidR="009E4757" w:rsidRPr="007721DF" w:rsidRDefault="00B828A3" w:rsidP="007721DF">
      <w:pPr>
        <w:pStyle w:val="Nagwek1"/>
        <w:numPr>
          <w:ilvl w:val="0"/>
          <w:numId w:val="13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4" w:name="_Toc194405790"/>
      <w:r w:rsidRPr="007721DF">
        <w:rPr>
          <w:rFonts w:ascii="Verdana" w:hAnsi="Verdana" w:cs="Times New Roman"/>
          <w:color w:val="auto"/>
          <w:sz w:val="16"/>
          <w:szCs w:val="16"/>
        </w:rPr>
        <w:lastRenderedPageBreak/>
        <w:t>Integracja ze skanerem histologicznym</w:t>
      </w:r>
      <w:bookmarkEnd w:id="4"/>
    </w:p>
    <w:p w14:paraId="7E55AC9F" w14:textId="77777777" w:rsidR="0006659A" w:rsidRPr="007721DF" w:rsidRDefault="0006659A" w:rsidP="007721DF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74D4E3A4" w14:textId="33B0C27B" w:rsidR="003A1C72" w:rsidRPr="007721DF" w:rsidRDefault="00B828A3" w:rsidP="007721DF">
      <w:p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7721DF">
        <w:rPr>
          <w:rFonts w:ascii="Verdana" w:hAnsi="Verdana" w:cs="Times New Roman"/>
          <w:sz w:val="16"/>
          <w:szCs w:val="16"/>
        </w:rPr>
        <w:t>Przedmiotem dostawy i wdrożenia jest integracja oferowanego rozwiązania ze skaner</w:t>
      </w:r>
      <w:r w:rsidR="001D5528" w:rsidRPr="007721DF">
        <w:rPr>
          <w:rFonts w:ascii="Verdana" w:hAnsi="Verdana" w:cs="Times New Roman"/>
          <w:sz w:val="16"/>
          <w:szCs w:val="16"/>
        </w:rPr>
        <w:t>em</w:t>
      </w:r>
      <w:r w:rsidRPr="007721DF">
        <w:rPr>
          <w:rFonts w:ascii="Verdana" w:hAnsi="Verdana" w:cs="Times New Roman"/>
          <w:sz w:val="16"/>
          <w:szCs w:val="16"/>
        </w:rPr>
        <w:t xml:space="preserve"> </w:t>
      </w:r>
      <w:r w:rsidR="00220C78" w:rsidRPr="007721DF">
        <w:rPr>
          <w:rFonts w:ascii="Verdana" w:hAnsi="Verdana" w:cs="Times New Roman"/>
          <w:sz w:val="16"/>
          <w:szCs w:val="16"/>
        </w:rPr>
        <w:t>będącym przedmiotem niniejszego postępowania.</w:t>
      </w:r>
    </w:p>
    <w:sectPr w:rsidR="003A1C72" w:rsidRPr="007721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F3FC9" w14:textId="77777777" w:rsidR="00C2068C" w:rsidRDefault="00C2068C" w:rsidP="00344018">
      <w:pPr>
        <w:spacing w:after="0" w:line="240" w:lineRule="auto"/>
      </w:pPr>
      <w:r>
        <w:separator/>
      </w:r>
    </w:p>
  </w:endnote>
  <w:endnote w:type="continuationSeparator" w:id="0">
    <w:p w14:paraId="0A7A04A0" w14:textId="77777777" w:rsidR="00C2068C" w:rsidRDefault="00C2068C" w:rsidP="0034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384700"/>
      <w:docPartObj>
        <w:docPartGallery w:val="Page Numbers (Bottom of Page)"/>
        <w:docPartUnique/>
      </w:docPartObj>
    </w:sdtPr>
    <w:sdtEndPr>
      <w:rPr>
        <w:rFonts w:ascii="Verdana" w:hAnsi="Verdana"/>
        <w:sz w:val="14"/>
        <w:szCs w:val="14"/>
      </w:rPr>
    </w:sdtEndPr>
    <w:sdtContent>
      <w:p w14:paraId="3B4C471A" w14:textId="04182860" w:rsidR="007721DF" w:rsidRPr="007721DF" w:rsidRDefault="007721DF">
        <w:pPr>
          <w:pStyle w:val="Stopka"/>
          <w:jc w:val="right"/>
          <w:rPr>
            <w:rFonts w:ascii="Verdana" w:hAnsi="Verdana"/>
            <w:sz w:val="14"/>
            <w:szCs w:val="14"/>
          </w:rPr>
        </w:pPr>
        <w:r w:rsidRPr="007721DF">
          <w:rPr>
            <w:rFonts w:ascii="Verdana" w:hAnsi="Verdana"/>
            <w:sz w:val="14"/>
            <w:szCs w:val="14"/>
          </w:rPr>
          <w:fldChar w:fldCharType="begin"/>
        </w:r>
        <w:r w:rsidRPr="007721DF">
          <w:rPr>
            <w:rFonts w:ascii="Verdana" w:hAnsi="Verdana"/>
            <w:sz w:val="14"/>
            <w:szCs w:val="14"/>
          </w:rPr>
          <w:instrText>PAGE   \* MERGEFORMAT</w:instrText>
        </w:r>
        <w:r w:rsidRPr="007721DF">
          <w:rPr>
            <w:rFonts w:ascii="Verdana" w:hAnsi="Verdana"/>
            <w:sz w:val="14"/>
            <w:szCs w:val="14"/>
          </w:rPr>
          <w:fldChar w:fldCharType="separate"/>
        </w:r>
        <w:r w:rsidRPr="007721DF">
          <w:rPr>
            <w:rFonts w:ascii="Verdana" w:hAnsi="Verdana"/>
            <w:sz w:val="14"/>
            <w:szCs w:val="14"/>
          </w:rPr>
          <w:t>2</w:t>
        </w:r>
        <w:r w:rsidRPr="007721DF">
          <w:rPr>
            <w:rFonts w:ascii="Verdana" w:hAnsi="Verdana"/>
            <w:sz w:val="14"/>
            <w:szCs w:val="14"/>
          </w:rPr>
          <w:fldChar w:fldCharType="end"/>
        </w:r>
      </w:p>
    </w:sdtContent>
  </w:sdt>
  <w:p w14:paraId="4BFEEAE8" w14:textId="77777777" w:rsidR="00344018" w:rsidRDefault="0034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0B3CC" w14:textId="77777777" w:rsidR="00C2068C" w:rsidRDefault="00C2068C" w:rsidP="00344018">
      <w:pPr>
        <w:spacing w:after="0" w:line="240" w:lineRule="auto"/>
      </w:pPr>
      <w:r>
        <w:separator/>
      </w:r>
    </w:p>
  </w:footnote>
  <w:footnote w:type="continuationSeparator" w:id="0">
    <w:p w14:paraId="0CE39EC4" w14:textId="77777777" w:rsidR="00C2068C" w:rsidRDefault="00C2068C" w:rsidP="00344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141"/>
    <w:multiLevelType w:val="hybridMultilevel"/>
    <w:tmpl w:val="763AEC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21AF"/>
    <w:multiLevelType w:val="multilevel"/>
    <w:tmpl w:val="5D341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2484081"/>
    <w:multiLevelType w:val="hybridMultilevel"/>
    <w:tmpl w:val="97586F7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5B824D2"/>
    <w:multiLevelType w:val="hybridMultilevel"/>
    <w:tmpl w:val="8926E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D3521"/>
    <w:multiLevelType w:val="hybridMultilevel"/>
    <w:tmpl w:val="6E92679A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79212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02E5F"/>
    <w:multiLevelType w:val="hybridMultilevel"/>
    <w:tmpl w:val="6B9A5060"/>
    <w:lvl w:ilvl="0" w:tplc="3328F902">
      <w:start w:val="1"/>
      <w:numFmt w:val="bullet"/>
      <w:lvlText w:val=""/>
      <w:lvlJc w:val="center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B70652"/>
    <w:multiLevelType w:val="multilevel"/>
    <w:tmpl w:val="71FA243E"/>
    <w:styleLink w:val="Moduy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41803D9"/>
    <w:multiLevelType w:val="multilevel"/>
    <w:tmpl w:val="6B028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EC22E2"/>
    <w:multiLevelType w:val="hybridMultilevel"/>
    <w:tmpl w:val="E5C44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22778"/>
    <w:multiLevelType w:val="multilevel"/>
    <w:tmpl w:val="A34889CE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center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7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5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1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4" w:hanging="128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E105EF3"/>
    <w:multiLevelType w:val="multilevel"/>
    <w:tmpl w:val="C71C0CF8"/>
    <w:lvl w:ilvl="0">
      <w:start w:val="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8" w:hanging="58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2F78437D"/>
    <w:multiLevelType w:val="multilevel"/>
    <w:tmpl w:val="71FA243E"/>
    <w:numStyleLink w:val="Moduy"/>
  </w:abstractNum>
  <w:abstractNum w:abstractNumId="12" w15:restartNumberingAfterBreak="0">
    <w:nsid w:val="31A96BDB"/>
    <w:multiLevelType w:val="hybridMultilevel"/>
    <w:tmpl w:val="E530266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8B77E4C"/>
    <w:multiLevelType w:val="multilevel"/>
    <w:tmpl w:val="A34889CE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center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7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5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1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4" w:hanging="128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ACE2065"/>
    <w:multiLevelType w:val="hybridMultilevel"/>
    <w:tmpl w:val="CBDC55D6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80BE5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A42C5"/>
    <w:multiLevelType w:val="hybridMultilevel"/>
    <w:tmpl w:val="9F006D5E"/>
    <w:lvl w:ilvl="0" w:tplc="3328F902">
      <w:start w:val="1"/>
      <w:numFmt w:val="bullet"/>
      <w:lvlText w:val=""/>
      <w:lvlJc w:val="center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F724738"/>
    <w:multiLevelType w:val="hybridMultilevel"/>
    <w:tmpl w:val="F25AE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43759"/>
    <w:multiLevelType w:val="multilevel"/>
    <w:tmpl w:val="2E3E5BF8"/>
    <w:lvl w:ilvl="0">
      <w:start w:val="1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0" w:hanging="58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8" w15:restartNumberingAfterBreak="0">
    <w:nsid w:val="42545830"/>
    <w:multiLevelType w:val="hybridMultilevel"/>
    <w:tmpl w:val="0A56EB84"/>
    <w:lvl w:ilvl="0" w:tplc="D57CA5FA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0218B"/>
    <w:multiLevelType w:val="hybridMultilevel"/>
    <w:tmpl w:val="33CEC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542F6"/>
    <w:multiLevelType w:val="hybridMultilevel"/>
    <w:tmpl w:val="4E30ED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C894C4D"/>
    <w:multiLevelType w:val="hybridMultilevel"/>
    <w:tmpl w:val="D18EB816"/>
    <w:lvl w:ilvl="0" w:tplc="7980BE50">
      <w:start w:val="1"/>
      <w:numFmt w:val="lowerLetter"/>
      <w:lvlText w:val="%1."/>
      <w:lvlJc w:val="left"/>
      <w:pPr>
        <w:ind w:left="2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D9D2D18"/>
    <w:multiLevelType w:val="hybridMultilevel"/>
    <w:tmpl w:val="F0684DC8"/>
    <w:lvl w:ilvl="0" w:tplc="EBBC21DA">
      <w:start w:val="2"/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524C3"/>
    <w:multiLevelType w:val="hybridMultilevel"/>
    <w:tmpl w:val="BAF83C1C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06F2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275E9"/>
    <w:multiLevelType w:val="hybridMultilevel"/>
    <w:tmpl w:val="7C30B3A8"/>
    <w:lvl w:ilvl="0" w:tplc="6C823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2A2F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B570E"/>
    <w:multiLevelType w:val="multilevel"/>
    <w:tmpl w:val="513A9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8A605C"/>
    <w:multiLevelType w:val="hybridMultilevel"/>
    <w:tmpl w:val="0B144B16"/>
    <w:lvl w:ilvl="0" w:tplc="5EC05A84"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E7F57"/>
    <w:multiLevelType w:val="hybridMultilevel"/>
    <w:tmpl w:val="E07A2A72"/>
    <w:lvl w:ilvl="0" w:tplc="7206F2B2">
      <w:start w:val="1"/>
      <w:numFmt w:val="decimal"/>
      <w:lvlText w:val="%1."/>
      <w:lvlJc w:val="left"/>
      <w:pPr>
        <w:ind w:left="2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21060291">
    <w:abstractNumId w:val="8"/>
  </w:num>
  <w:num w:numId="2" w16cid:durableId="2124424965">
    <w:abstractNumId w:val="26"/>
  </w:num>
  <w:num w:numId="3" w16cid:durableId="485362999">
    <w:abstractNumId w:val="3"/>
  </w:num>
  <w:num w:numId="4" w16cid:durableId="1121921063">
    <w:abstractNumId w:val="22"/>
  </w:num>
  <w:num w:numId="5" w16cid:durableId="115368803">
    <w:abstractNumId w:val="19"/>
  </w:num>
  <w:num w:numId="6" w16cid:durableId="658655258">
    <w:abstractNumId w:val="18"/>
  </w:num>
  <w:num w:numId="7" w16cid:durableId="1842620772">
    <w:abstractNumId w:val="16"/>
  </w:num>
  <w:num w:numId="8" w16cid:durableId="446196592">
    <w:abstractNumId w:val="0"/>
  </w:num>
  <w:num w:numId="9" w16cid:durableId="936211028">
    <w:abstractNumId w:val="24"/>
  </w:num>
  <w:num w:numId="10" w16cid:durableId="380054907">
    <w:abstractNumId w:val="4"/>
  </w:num>
  <w:num w:numId="11" w16cid:durableId="217791736">
    <w:abstractNumId w:val="14"/>
  </w:num>
  <w:num w:numId="12" w16cid:durableId="374626031">
    <w:abstractNumId w:val="23"/>
  </w:num>
  <w:num w:numId="13" w16cid:durableId="942031395">
    <w:abstractNumId w:val="25"/>
  </w:num>
  <w:num w:numId="14" w16cid:durableId="2055958239">
    <w:abstractNumId w:val="1"/>
  </w:num>
  <w:num w:numId="15" w16cid:durableId="722219447">
    <w:abstractNumId w:val="6"/>
  </w:num>
  <w:num w:numId="16" w16cid:durableId="1248464174">
    <w:abstractNumId w:val="11"/>
  </w:num>
  <w:num w:numId="17" w16cid:durableId="491605575">
    <w:abstractNumId w:val="15"/>
  </w:num>
  <w:num w:numId="18" w16cid:durableId="674067597">
    <w:abstractNumId w:val="13"/>
  </w:num>
  <w:num w:numId="19" w16cid:durableId="1326974211">
    <w:abstractNumId w:val="9"/>
  </w:num>
  <w:num w:numId="20" w16cid:durableId="1978874948">
    <w:abstractNumId w:val="27"/>
  </w:num>
  <w:num w:numId="21" w16cid:durableId="315378913">
    <w:abstractNumId w:val="21"/>
  </w:num>
  <w:num w:numId="22" w16cid:durableId="1265378839">
    <w:abstractNumId w:val="2"/>
  </w:num>
  <w:num w:numId="23" w16cid:durableId="550463057">
    <w:abstractNumId w:val="20"/>
  </w:num>
  <w:num w:numId="24" w16cid:durableId="391078023">
    <w:abstractNumId w:val="12"/>
  </w:num>
  <w:num w:numId="25" w16cid:durableId="1936279147">
    <w:abstractNumId w:val="5"/>
  </w:num>
  <w:num w:numId="26" w16cid:durableId="51389776">
    <w:abstractNumId w:val="10"/>
  </w:num>
  <w:num w:numId="27" w16cid:durableId="202669136">
    <w:abstractNumId w:val="17"/>
  </w:num>
  <w:num w:numId="28" w16cid:durableId="1453178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E3"/>
    <w:rsid w:val="000316DB"/>
    <w:rsid w:val="00056920"/>
    <w:rsid w:val="000652A0"/>
    <w:rsid w:val="0006659A"/>
    <w:rsid w:val="00067608"/>
    <w:rsid w:val="00074332"/>
    <w:rsid w:val="0007755F"/>
    <w:rsid w:val="000912BD"/>
    <w:rsid w:val="000939B3"/>
    <w:rsid w:val="000C1B21"/>
    <w:rsid w:val="000F6C6B"/>
    <w:rsid w:val="00102DB6"/>
    <w:rsid w:val="00122AD5"/>
    <w:rsid w:val="0012744C"/>
    <w:rsid w:val="00131E42"/>
    <w:rsid w:val="001402A0"/>
    <w:rsid w:val="00166CDF"/>
    <w:rsid w:val="001874E5"/>
    <w:rsid w:val="001A17A0"/>
    <w:rsid w:val="001B79C1"/>
    <w:rsid w:val="001D2FF5"/>
    <w:rsid w:val="001D4CCA"/>
    <w:rsid w:val="001D5528"/>
    <w:rsid w:val="001F6254"/>
    <w:rsid w:val="00220C78"/>
    <w:rsid w:val="00223572"/>
    <w:rsid w:val="00226A8A"/>
    <w:rsid w:val="002344EC"/>
    <w:rsid w:val="002428FF"/>
    <w:rsid w:val="00250B01"/>
    <w:rsid w:val="00270DE6"/>
    <w:rsid w:val="00295C07"/>
    <w:rsid w:val="002A3368"/>
    <w:rsid w:val="0030698B"/>
    <w:rsid w:val="00324EE7"/>
    <w:rsid w:val="00325DCB"/>
    <w:rsid w:val="00336B24"/>
    <w:rsid w:val="00344018"/>
    <w:rsid w:val="003506A9"/>
    <w:rsid w:val="0039098F"/>
    <w:rsid w:val="003A1C72"/>
    <w:rsid w:val="003B1D10"/>
    <w:rsid w:val="003E20E5"/>
    <w:rsid w:val="003F0831"/>
    <w:rsid w:val="00417F0E"/>
    <w:rsid w:val="00481F7B"/>
    <w:rsid w:val="00484ECD"/>
    <w:rsid w:val="004B16CA"/>
    <w:rsid w:val="004B45DF"/>
    <w:rsid w:val="00523F34"/>
    <w:rsid w:val="005C082D"/>
    <w:rsid w:val="005C6493"/>
    <w:rsid w:val="005F7F3D"/>
    <w:rsid w:val="00614E7D"/>
    <w:rsid w:val="00622E3C"/>
    <w:rsid w:val="00651000"/>
    <w:rsid w:val="006A7FEE"/>
    <w:rsid w:val="006D55EA"/>
    <w:rsid w:val="006F37C1"/>
    <w:rsid w:val="0072458A"/>
    <w:rsid w:val="00761202"/>
    <w:rsid w:val="007642BB"/>
    <w:rsid w:val="007721DF"/>
    <w:rsid w:val="00796052"/>
    <w:rsid w:val="007E379F"/>
    <w:rsid w:val="007E6186"/>
    <w:rsid w:val="00805DEB"/>
    <w:rsid w:val="00820EC0"/>
    <w:rsid w:val="008246F6"/>
    <w:rsid w:val="00857BCE"/>
    <w:rsid w:val="00894902"/>
    <w:rsid w:val="008E1C5E"/>
    <w:rsid w:val="008E7882"/>
    <w:rsid w:val="008E7EA4"/>
    <w:rsid w:val="008E7F60"/>
    <w:rsid w:val="008F63D0"/>
    <w:rsid w:val="009052FE"/>
    <w:rsid w:val="009414A0"/>
    <w:rsid w:val="00943A0F"/>
    <w:rsid w:val="00946B5F"/>
    <w:rsid w:val="00956AD5"/>
    <w:rsid w:val="009A6A8E"/>
    <w:rsid w:val="009B0E10"/>
    <w:rsid w:val="009B78E5"/>
    <w:rsid w:val="009D7F90"/>
    <w:rsid w:val="009E1EC0"/>
    <w:rsid w:val="009E4757"/>
    <w:rsid w:val="009F3E7C"/>
    <w:rsid w:val="00A3586B"/>
    <w:rsid w:val="00A60D60"/>
    <w:rsid w:val="00A748E6"/>
    <w:rsid w:val="00AA56D9"/>
    <w:rsid w:val="00AB3972"/>
    <w:rsid w:val="00AB3FCA"/>
    <w:rsid w:val="00AE0A9D"/>
    <w:rsid w:val="00B00735"/>
    <w:rsid w:val="00B10813"/>
    <w:rsid w:val="00B25CE2"/>
    <w:rsid w:val="00B35059"/>
    <w:rsid w:val="00B828A3"/>
    <w:rsid w:val="00B82AC2"/>
    <w:rsid w:val="00B82DE3"/>
    <w:rsid w:val="00C2068C"/>
    <w:rsid w:val="00C3056F"/>
    <w:rsid w:val="00C56F17"/>
    <w:rsid w:val="00C66BD9"/>
    <w:rsid w:val="00C730C4"/>
    <w:rsid w:val="00CC3857"/>
    <w:rsid w:val="00CC6841"/>
    <w:rsid w:val="00CF2976"/>
    <w:rsid w:val="00D11B4F"/>
    <w:rsid w:val="00D65D6A"/>
    <w:rsid w:val="00D70A23"/>
    <w:rsid w:val="00D72BFC"/>
    <w:rsid w:val="00D73EEE"/>
    <w:rsid w:val="00D76B9C"/>
    <w:rsid w:val="00DE010A"/>
    <w:rsid w:val="00DE7165"/>
    <w:rsid w:val="00E074B1"/>
    <w:rsid w:val="00E525EE"/>
    <w:rsid w:val="00E67D93"/>
    <w:rsid w:val="00EC6B84"/>
    <w:rsid w:val="00EE0F2E"/>
    <w:rsid w:val="00F00316"/>
    <w:rsid w:val="00F07F4F"/>
    <w:rsid w:val="00F475B8"/>
    <w:rsid w:val="00F7469B"/>
    <w:rsid w:val="00F7561F"/>
    <w:rsid w:val="00F96F2F"/>
    <w:rsid w:val="00FD2094"/>
    <w:rsid w:val="00FD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77F93"/>
  <w15:chartTrackingRefBased/>
  <w15:docId w15:val="{5AEA3301-8171-475E-98DC-DCC9CB50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A8E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A8E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2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2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2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2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2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2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2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2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A8E"/>
    <w:rPr>
      <w:rFonts w:ascii="Times New Roman" w:eastAsiaTheme="majorEastAsia" w:hAnsi="Times New Roman" w:cstheme="majorBidi"/>
      <w:color w:val="0F4761" w:themeColor="accent1" w:themeShade="BF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2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82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2D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2D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2D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2D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2D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2D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2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2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2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2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2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2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2D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2D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2D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2D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4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018"/>
  </w:style>
  <w:style w:type="paragraph" w:styleId="Stopka">
    <w:name w:val="footer"/>
    <w:basedOn w:val="Normalny"/>
    <w:link w:val="StopkaZnak"/>
    <w:uiPriority w:val="99"/>
    <w:unhideWhenUsed/>
    <w:rsid w:val="00344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018"/>
  </w:style>
  <w:style w:type="paragraph" w:styleId="Nagwekspisutreci">
    <w:name w:val="TOC Heading"/>
    <w:basedOn w:val="Nagwek1"/>
    <w:next w:val="Normalny"/>
    <w:uiPriority w:val="39"/>
    <w:unhideWhenUsed/>
    <w:qFormat/>
    <w:rsid w:val="00344018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07F4F"/>
    <w:pPr>
      <w:tabs>
        <w:tab w:val="left" w:pos="567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44018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344018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60D6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A3586B"/>
    <w:pPr>
      <w:spacing w:after="100"/>
      <w:ind w:left="480"/>
    </w:pPr>
  </w:style>
  <w:style w:type="numbering" w:customStyle="1" w:styleId="Moduy">
    <w:name w:val="Moduły"/>
    <w:uiPriority w:val="99"/>
    <w:rsid w:val="003E20E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DB57-B74D-4F26-A60F-37C7165C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1469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7SZMW</cp:lastModifiedBy>
  <cp:revision>15</cp:revision>
  <dcterms:created xsi:type="dcterms:W3CDTF">2024-08-06T05:49:00Z</dcterms:created>
  <dcterms:modified xsi:type="dcterms:W3CDTF">2025-10-15T11:47:00Z</dcterms:modified>
</cp:coreProperties>
</file>